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2021</w:t>
      </w:r>
      <w:r>
        <w:rPr>
          <w:rFonts w:hint="eastAsia" w:ascii="黑体" w:hAnsi="黑体" w:eastAsia="黑体"/>
          <w:b/>
          <w:sz w:val="32"/>
          <w:szCs w:val="32"/>
        </w:rPr>
        <w:t>年度南京大学医学院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临床医学</w:t>
      </w:r>
      <w:r>
        <w:rPr>
          <w:rFonts w:ascii="黑体" w:hAnsi="黑体" w:eastAsia="黑体"/>
          <w:b/>
          <w:sz w:val="32"/>
          <w:szCs w:val="32"/>
        </w:rPr>
        <w:t>专业</w:t>
      </w:r>
      <w:r>
        <w:rPr>
          <w:rFonts w:hint="eastAsia" w:ascii="黑体" w:hAnsi="黑体" w:eastAsia="黑体"/>
          <w:b/>
          <w:sz w:val="32"/>
          <w:szCs w:val="32"/>
        </w:rPr>
        <w:t>推免生遴选工作实施细则</w:t>
      </w:r>
    </w:p>
    <w:p>
      <w:pPr>
        <w:rPr>
          <w:rFonts w:ascii="宋体"/>
        </w:rPr>
      </w:pPr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一、推免生遴选工作指导思想</w:t>
      </w:r>
    </w:p>
    <w:p>
      <w:pPr>
        <w:pStyle w:val="7"/>
        <w:spacing w:line="360" w:lineRule="auto"/>
        <w:ind w:firstLine="48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为全面落实立德树人根本任务，深化拔尖创新人才贯通式培养改革，提高研究生招生质量，激励学生勤奋学习、勇于创新、全面发展，选拔品学兼优、具有科研潜质的优秀本科毕业生进入研究生培养，根据《南京大学关于做好推荐2022年应届优秀本科毕业生免试攻读硕士学位研究生工作的通知》，经研究，制定《2021年度南京大学医学院临床医学专业推免生遴选工作实施细则》。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二、院系推免生遴选工作小组</w:t>
      </w:r>
    </w:p>
    <w:p>
      <w:pPr>
        <w:pStyle w:val="7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组长：韩晓冬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副组长</w:t>
      </w:r>
      <w:r>
        <w:rPr>
          <w:rFonts w:ascii="宋体" w:hAnsi="宋体"/>
          <w:bCs/>
          <w:sz w:val="24"/>
          <w:szCs w:val="24"/>
        </w:rPr>
        <w:t>：王阿妮、</w:t>
      </w:r>
      <w:r>
        <w:rPr>
          <w:rFonts w:hint="eastAsia" w:ascii="宋体" w:hAnsi="宋体"/>
          <w:bCs/>
          <w:sz w:val="24"/>
          <w:szCs w:val="24"/>
        </w:rPr>
        <w:t>沈苏南</w:t>
      </w:r>
      <w:r>
        <w:rPr>
          <w:rFonts w:ascii="宋体" w:hAnsi="宋体"/>
          <w:bCs/>
          <w:sz w:val="24"/>
          <w:szCs w:val="24"/>
        </w:rPr>
        <w:t>、王婷婷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成员：顾云倩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Cs/>
          <w:sz w:val="24"/>
          <w:szCs w:val="24"/>
        </w:rPr>
        <w:t>李瑾</w:t>
      </w:r>
      <w:r>
        <w:rPr>
          <w:rFonts w:ascii="宋体" w:hAnsi="宋体"/>
          <w:bCs/>
          <w:sz w:val="24"/>
          <w:szCs w:val="24"/>
        </w:rPr>
        <w:t>、陆琪、伍环煜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三、推免对象及条件（此处仅针对本院系学生）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Calibri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Calibri" w:eastAsia="宋体" w:cs="Times New Roman"/>
          <w:bCs/>
          <w:kern w:val="2"/>
          <w:sz w:val="24"/>
          <w:szCs w:val="24"/>
          <w:lang w:val="en-US" w:eastAsia="zh-CN" w:bidi="ar-SA"/>
        </w:rPr>
        <w:t>纳入国家普通本科招生计划录取的医学院</w:t>
      </w:r>
      <w:r>
        <w:rPr>
          <w:rFonts w:hint="eastAsia" w:ascii="宋体" w:cs="Times New Roman"/>
          <w:bCs/>
          <w:kern w:val="2"/>
          <w:sz w:val="24"/>
          <w:szCs w:val="24"/>
          <w:lang w:val="en-US" w:eastAsia="zh-Hans" w:bidi="ar-SA"/>
        </w:rPr>
        <w:t>临床</w:t>
      </w:r>
      <w:r>
        <w:rPr>
          <w:rFonts w:hint="eastAsia" w:ascii="宋体" w:hAnsi="Calibri" w:eastAsia="宋体" w:cs="Times New Roman"/>
          <w:bCs/>
          <w:kern w:val="2"/>
          <w:sz w:val="24"/>
          <w:szCs w:val="24"/>
          <w:lang w:val="en-US" w:eastAsia="zh-CN" w:bidi="ar-SA"/>
        </w:rPr>
        <w:t>医学专业2022年应届优秀全日制本科毕业生，热爱祖国，拥护中国共产党的</w:t>
      </w:r>
      <w:r>
        <w:rPr>
          <w:rFonts w:hint="default" w:ascii="宋体" w:hAnsi="Calibri" w:eastAsia="宋体" w:cs="Times New Roman"/>
          <w:bCs/>
          <w:kern w:val="2"/>
          <w:sz w:val="24"/>
          <w:szCs w:val="24"/>
          <w:lang w:val="en-US" w:eastAsia="zh-CN" w:bidi="ar-SA"/>
        </w:rPr>
        <w:t>领导，自觉践行社会主义核心价值观，理想信念坚定，社会责任感和历史使命感强。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Calibri" w:eastAsia="宋体" w:cs="Times New Roman"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四、推免学分绩</w:t>
      </w:r>
    </w:p>
    <w:p>
      <w:pPr>
        <w:pStyle w:val="7"/>
        <w:spacing w:line="360" w:lineRule="auto"/>
        <w:ind w:firstLine="0" w:firstLineChars="0"/>
        <w:rPr>
          <w:rFonts w:ascii="宋体" w:hAnsi="宋体"/>
          <w:b/>
          <w:color w:val="C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（一）纳入学分绩计算范围的课程</w:t>
      </w:r>
      <w:r>
        <w:rPr>
          <w:rFonts w:hint="eastAsia" w:ascii="宋体" w:hAnsi="宋体"/>
          <w:b/>
          <w:color w:val="C00000"/>
          <w:sz w:val="24"/>
          <w:szCs w:val="24"/>
        </w:rPr>
        <w:t>学分认定规则</w:t>
      </w:r>
      <w:r>
        <w:rPr>
          <w:rFonts w:hint="eastAsia" w:ascii="宋体" w:hAnsi="宋体"/>
          <w:b/>
          <w:sz w:val="24"/>
          <w:szCs w:val="24"/>
        </w:rPr>
        <w:t>与</w:t>
      </w:r>
      <w:r>
        <w:rPr>
          <w:rFonts w:hint="eastAsia" w:ascii="宋体" w:hAnsi="宋体"/>
          <w:b/>
          <w:color w:val="C00000"/>
          <w:sz w:val="24"/>
          <w:szCs w:val="24"/>
        </w:rPr>
        <w:t>计算方式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kern w:val="0"/>
          <w:sz w:val="24"/>
          <w:szCs w:val="24"/>
        </w:rPr>
        <w:t>以教务系统</w:t>
      </w:r>
      <w:r>
        <w:rPr>
          <w:rFonts w:ascii="宋体"/>
          <w:bCs/>
          <w:kern w:val="0"/>
          <w:sz w:val="24"/>
          <w:szCs w:val="24"/>
        </w:rPr>
        <w:t>中学分计算结果为准</w:t>
      </w:r>
    </w:p>
    <w:p>
      <w:pPr>
        <w:pStyle w:val="7"/>
        <w:spacing w:line="360" w:lineRule="auto"/>
        <w:ind w:firstLine="0" w:firstLineChars="0"/>
        <w:rPr>
          <w:rFonts w:ascii="宋体" w:hAnsi="宋体"/>
          <w:b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（二）纳入学分绩计算范围的</w:t>
      </w:r>
      <w:r>
        <w:rPr>
          <w:rFonts w:hint="eastAsia" w:ascii="宋体" w:hAnsi="宋体"/>
          <w:b/>
          <w:color w:val="C00000"/>
          <w:sz w:val="24"/>
          <w:szCs w:val="24"/>
        </w:rPr>
        <w:t>课程清单</w:t>
      </w:r>
      <w:r>
        <w:rPr>
          <w:rFonts w:hint="eastAsia" w:ascii="宋体" w:hAnsi="宋体"/>
          <w:b/>
          <w:sz w:val="24"/>
          <w:szCs w:val="24"/>
        </w:rPr>
        <w:t>（附件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）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kern w:val="0"/>
          <w:sz w:val="24"/>
          <w:szCs w:val="24"/>
        </w:rPr>
        <w:t>参考教学计划中所列课程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（三）学分绩加分项目补充说明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无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（四）经院系认定允许学分绩加分的学术刊物目录（加分刊物级别及其对应加分值）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无</w:t>
      </w:r>
    </w:p>
    <w:p>
      <w:pPr>
        <w:pStyle w:val="7"/>
        <w:spacing w:line="360" w:lineRule="auto"/>
        <w:ind w:firstLine="0" w:firstLineChars="0"/>
        <w:rPr>
          <w:rFonts w:ascii="宋体"/>
          <w:b/>
          <w:bCs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五、排名规则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推免综合学分绩=推免课程学分绩</w:t>
      </w:r>
    </w:p>
    <w:p>
      <w:pPr>
        <w:pStyle w:val="7"/>
        <w:spacing w:line="360" w:lineRule="auto"/>
        <w:ind w:firstLine="0" w:firstLineChars="0"/>
        <w:rPr>
          <w:rFonts w:ascii="宋体"/>
          <w:b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六、本院系学生推免申报程序</w:t>
      </w:r>
    </w:p>
    <w:p>
      <w:pPr>
        <w:pStyle w:val="7"/>
        <w:spacing w:line="360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根据学校推免工作流程安排，学院在各时间节点做好相关推免工作。主要程序如下：</w:t>
      </w:r>
    </w:p>
    <w:p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学院完成学生学分绩核算、政策解释和咨询指导等工作。</w:t>
      </w:r>
    </w:p>
    <w:p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学院组织学生填写相关申报材料，审核并提交至学校。</w:t>
      </w:r>
    </w:p>
    <w:p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学院向学校提交推免学生汇总名单。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七、院系推免工作联系方式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工作联系人：伍环煜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咨询电话：（025）83686076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电子信箱：</w:t>
      </w:r>
      <w:r>
        <w:rPr>
          <w:rFonts w:ascii="宋体" w:hAnsi="宋体"/>
          <w:bCs/>
          <w:sz w:val="24"/>
          <w:szCs w:val="24"/>
        </w:rPr>
        <w:t>wuhuanyu</w:t>
      </w:r>
      <w:r>
        <w:rPr>
          <w:rFonts w:hint="eastAsia" w:ascii="宋体" w:hAnsi="宋体"/>
          <w:bCs/>
          <w:sz w:val="24"/>
          <w:szCs w:val="24"/>
        </w:rPr>
        <w:t>@nju.edu.cn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办公时间及地点：鼓楼校区东南楼221</w:t>
      </w:r>
    </w:p>
    <w:p>
      <w:pPr>
        <w:pStyle w:val="7"/>
        <w:wordWrap w:val="0"/>
        <w:spacing w:line="360" w:lineRule="auto"/>
        <w:ind w:firstLine="0" w:firstLineChars="0"/>
        <w:jc w:val="righ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院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系：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（公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章）</w:t>
      </w:r>
    </w:p>
    <w:p>
      <w:pPr>
        <w:pStyle w:val="7"/>
        <w:wordWrap w:val="0"/>
        <w:spacing w:line="360" w:lineRule="auto"/>
        <w:ind w:left="420" w:firstLine="0" w:firstLineChars="0"/>
        <w:jc w:val="right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           </w:t>
      </w:r>
      <w:r>
        <w:rPr>
          <w:rFonts w:hint="eastAsia" w:ascii="宋体" w:hAnsi="宋体"/>
          <w:b/>
          <w:sz w:val="24"/>
          <w:szCs w:val="24"/>
        </w:rPr>
        <w:t xml:space="preserve">日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期：</w:t>
      </w:r>
      <w:r>
        <w:rPr>
          <w:rFonts w:ascii="宋体" w:hAnsi="宋体"/>
          <w:b/>
          <w:sz w:val="24"/>
          <w:szCs w:val="24"/>
        </w:rPr>
        <w:t xml:space="preserve">        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Style w:val="5"/>
        <w:rFonts w:ascii="Times New Roman" w:hAnsi="Times New Roman"/>
        <w:sz w:val="24"/>
        <w:szCs w:val="24"/>
      </w:rPr>
      <w:fldChar w:fldCharType="end"/>
    </w:r>
  </w:p>
  <w:p>
    <w:pPr>
      <w:pStyle w:val="2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9"/>
    <w:rsid w:val="000647CD"/>
    <w:rsid w:val="00072009"/>
    <w:rsid w:val="00091236"/>
    <w:rsid w:val="000B05CA"/>
    <w:rsid w:val="000E1C64"/>
    <w:rsid w:val="001327C2"/>
    <w:rsid w:val="00135B7A"/>
    <w:rsid w:val="00142E25"/>
    <w:rsid w:val="00153F5A"/>
    <w:rsid w:val="0016238C"/>
    <w:rsid w:val="001C093B"/>
    <w:rsid w:val="001E0B19"/>
    <w:rsid w:val="001E2504"/>
    <w:rsid w:val="001F2D65"/>
    <w:rsid w:val="00203961"/>
    <w:rsid w:val="002723D6"/>
    <w:rsid w:val="002B7B04"/>
    <w:rsid w:val="002D72AA"/>
    <w:rsid w:val="002E119C"/>
    <w:rsid w:val="002F1E2D"/>
    <w:rsid w:val="00314969"/>
    <w:rsid w:val="00340356"/>
    <w:rsid w:val="00342777"/>
    <w:rsid w:val="003E7A95"/>
    <w:rsid w:val="00430868"/>
    <w:rsid w:val="00454B57"/>
    <w:rsid w:val="0048332B"/>
    <w:rsid w:val="004912DC"/>
    <w:rsid w:val="004D038A"/>
    <w:rsid w:val="004E0134"/>
    <w:rsid w:val="00503F3E"/>
    <w:rsid w:val="005360F2"/>
    <w:rsid w:val="005B29EA"/>
    <w:rsid w:val="005F59F4"/>
    <w:rsid w:val="0060483F"/>
    <w:rsid w:val="006274E4"/>
    <w:rsid w:val="00632DFE"/>
    <w:rsid w:val="0067624D"/>
    <w:rsid w:val="00685633"/>
    <w:rsid w:val="006A6CE9"/>
    <w:rsid w:val="006D0C98"/>
    <w:rsid w:val="006D323B"/>
    <w:rsid w:val="0070171F"/>
    <w:rsid w:val="00714822"/>
    <w:rsid w:val="00717509"/>
    <w:rsid w:val="007471FF"/>
    <w:rsid w:val="00762F85"/>
    <w:rsid w:val="007B5401"/>
    <w:rsid w:val="00802978"/>
    <w:rsid w:val="008447BD"/>
    <w:rsid w:val="00883EFF"/>
    <w:rsid w:val="008A0E62"/>
    <w:rsid w:val="008B63DA"/>
    <w:rsid w:val="00940223"/>
    <w:rsid w:val="009552FE"/>
    <w:rsid w:val="00960038"/>
    <w:rsid w:val="00986510"/>
    <w:rsid w:val="009E2013"/>
    <w:rsid w:val="009E490B"/>
    <w:rsid w:val="00A349CD"/>
    <w:rsid w:val="00A93F2E"/>
    <w:rsid w:val="00A95277"/>
    <w:rsid w:val="00AC4893"/>
    <w:rsid w:val="00BB7969"/>
    <w:rsid w:val="00BE0018"/>
    <w:rsid w:val="00BE07B6"/>
    <w:rsid w:val="00C30EFB"/>
    <w:rsid w:val="00C6727E"/>
    <w:rsid w:val="00C83DFA"/>
    <w:rsid w:val="00C9418F"/>
    <w:rsid w:val="00CA08D0"/>
    <w:rsid w:val="00CB63A4"/>
    <w:rsid w:val="00D209FA"/>
    <w:rsid w:val="00D31DE5"/>
    <w:rsid w:val="00D44283"/>
    <w:rsid w:val="00D8104A"/>
    <w:rsid w:val="00D90D6F"/>
    <w:rsid w:val="00E05808"/>
    <w:rsid w:val="00E54FFA"/>
    <w:rsid w:val="00E71650"/>
    <w:rsid w:val="00E8546E"/>
    <w:rsid w:val="00EA386B"/>
    <w:rsid w:val="00EA724E"/>
    <w:rsid w:val="00F30892"/>
    <w:rsid w:val="00F704EE"/>
    <w:rsid w:val="00F75CC3"/>
    <w:rsid w:val="3DFFB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99" w:semiHidden="0" w:name="table of authorities"/>
    <w:lsdException w:uiPriority="99" w:name="macro"/>
    <w:lsdException w:uiPriority="99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脚 字符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basedOn w:val="4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2019-07-13T16:06:00Z</dcterms:created>
  <dc:creator>CYW</dc:creator>
  <cp:lastModifiedBy>wuhuanyu</cp:lastModifiedBy>
  <cp:lastPrinted>2012-05-16T14:21:00Z</cp:lastPrinted>
  <dcterms:modified xsi:type="dcterms:W3CDTF">2021-08-27T21:24:52Z</dcterms:modified>
  <dc:title>南京大学****系推免生工作细则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